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int="eastAsia" w:hAnsi="宋体" w:eastAsia="仿宋_GB2312" w:cs="宋体"/>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Fonts w:hint="eastAsia" w:hAnsi="宋体" w:eastAsia="仿宋_GB2312" w:cs="宋体"/>
          <w:kern w:val="0"/>
          <w:sz w:val="36"/>
          <w:szCs w:val="36"/>
        </w:rPr>
        <w:t>库尔勒市城乡防护林管理处</w:t>
      </w:r>
    </w:p>
    <w:p>
      <w:pPr>
        <w:spacing w:line="540" w:lineRule="exact"/>
        <w:ind w:firstLine="720" w:firstLineChars="200"/>
        <w:rPr>
          <w:rFonts w:hint="eastAsia" w:hAnsi="宋体" w:eastAsia="仿宋_GB2312" w:cs="宋体"/>
          <w:kern w:val="0"/>
          <w:sz w:val="36"/>
          <w:szCs w:val="36"/>
        </w:rPr>
      </w:pPr>
      <w:r>
        <w:rPr>
          <w:rFonts w:hint="eastAsia" w:hAnsi="宋体" w:eastAsia="仿宋_GB2312" w:cs="宋体"/>
          <w:kern w:val="0"/>
          <w:sz w:val="36"/>
          <w:szCs w:val="36"/>
        </w:rPr>
        <w:t>填报时间：2025年04月29日</w:t>
      </w:r>
    </w:p>
    <w:p>
      <w:pPr>
        <w:pStyle w:val="2"/>
        <w:rPr>
          <w:rFonts w:hint="eastAsia"/>
          <w:lang w:val="en-US" w:eastAsia="zh-CN"/>
        </w:rPr>
      </w:pPr>
    </w:p>
    <w:p>
      <w:pPr>
        <w:numPr>
          <w:ilvl w:val="0"/>
          <w:numId w:val="0"/>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一、</w:t>
      </w: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rPr>
        <w:t>1.主要职能</w:t>
      </w:r>
      <w:r>
        <w:rPr>
          <w:rFonts w:hint="eastAsia" w:ascii="仿宋_GB2312" w:eastAsia="仿宋_GB2312"/>
          <w:b w:val="0"/>
          <w:sz w:val="32"/>
          <w:szCs w:val="32"/>
        </w:rPr>
        <w:cr/>
      </w:r>
      <w:r>
        <w:rPr>
          <w:rFonts w:hint="eastAsia" w:ascii="仿宋_GB2312" w:eastAsia="仿宋_GB2312"/>
          <w:b w:val="0"/>
          <w:sz w:val="32"/>
          <w:szCs w:val="32"/>
        </w:rPr>
        <w:t>（一）城市生态林建设和管理：负责城市生态林的建设、养护和管理，以改善生态环境，提高城市绿化覆盖率和绿地率，减少风沙危害和水土流失。</w:t>
      </w:r>
      <w:r>
        <w:rPr>
          <w:rFonts w:hint="eastAsia" w:ascii="仿宋_GB2312" w:eastAsia="仿宋_GB2312"/>
          <w:b w:val="0"/>
          <w:sz w:val="32"/>
          <w:szCs w:val="32"/>
        </w:rPr>
        <w:cr/>
      </w:r>
      <w:r>
        <w:rPr>
          <w:rFonts w:hint="eastAsia" w:ascii="仿宋_GB2312" w:eastAsia="仿宋_GB2312"/>
          <w:b w:val="0"/>
          <w:sz w:val="32"/>
          <w:szCs w:val="32"/>
        </w:rPr>
        <w:t>（二）生态林保护政策法规规划拟定：参与制定生态林保护的政策法规和中长期规划名为生态林的保护和管理提供政策支持和法律依据。</w:t>
      </w:r>
      <w:r>
        <w:rPr>
          <w:rFonts w:hint="eastAsia" w:ascii="仿宋_GB2312" w:eastAsia="仿宋_GB2312"/>
          <w:b w:val="0"/>
          <w:sz w:val="32"/>
          <w:szCs w:val="32"/>
        </w:rPr>
        <w:cr/>
      </w:r>
      <w:r>
        <w:rPr>
          <w:rFonts w:hint="eastAsia" w:ascii="仿宋_GB2312" w:eastAsia="仿宋_GB2312"/>
          <w:b w:val="0"/>
          <w:sz w:val="32"/>
          <w:szCs w:val="32"/>
        </w:rPr>
        <w:t>（三）生态林保护工程检查与监督验收评估：对生态林保护工程进行检查和监督，确保工程质量和进度，同时对工程进行验收和评估，确保工程达到预期效果。</w:t>
      </w:r>
      <w:r>
        <w:rPr>
          <w:rFonts w:hint="eastAsia" w:ascii="仿宋_GB2312" w:eastAsia="仿宋_GB2312"/>
          <w:b w:val="0"/>
          <w:sz w:val="32"/>
          <w:szCs w:val="32"/>
        </w:rPr>
        <w:cr/>
      </w:r>
      <w:r>
        <w:rPr>
          <w:rFonts w:hint="eastAsia" w:ascii="仿宋_GB2312" w:eastAsia="仿宋_GB2312"/>
          <w:b w:val="0"/>
          <w:sz w:val="32"/>
          <w:szCs w:val="32"/>
        </w:rPr>
        <w:t>（四）信息网络建设与信息管理：负责生态林保护和管理的信息网络建设，手机、整理和分析生态林相关信息，为科学决策提供依据。</w:t>
      </w:r>
      <w:r>
        <w:rPr>
          <w:rFonts w:hint="eastAsia" w:ascii="仿宋_GB2312" w:eastAsia="仿宋_GB2312"/>
          <w:b w:val="0"/>
          <w:sz w:val="32"/>
          <w:szCs w:val="32"/>
        </w:rPr>
        <w:cr/>
      </w:r>
      <w:r>
        <w:rPr>
          <w:rFonts w:hint="eastAsia" w:ascii="仿宋_GB2312" w:eastAsia="仿宋_GB2312"/>
          <w:b w:val="0"/>
          <w:sz w:val="32"/>
          <w:szCs w:val="32"/>
        </w:rPr>
        <w:t>（五）监理与监测：对生态林进行定期检测，及时发现和处理生态林中的病虫害、火灾等灾害，确保生态林的健康和安全。</w:t>
      </w:r>
      <w:r>
        <w:rPr>
          <w:rFonts w:hint="eastAsia" w:ascii="仿宋_GB2312" w:eastAsia="仿宋_GB2312"/>
          <w:b w:val="0"/>
          <w:sz w:val="32"/>
          <w:szCs w:val="32"/>
        </w:rPr>
        <w:cr/>
      </w:r>
      <w:r>
        <w:rPr>
          <w:rFonts w:hint="eastAsia" w:ascii="仿宋_GB2312" w:eastAsia="仿宋_GB2312"/>
          <w:b w:val="0"/>
          <w:sz w:val="32"/>
          <w:szCs w:val="32"/>
        </w:rPr>
        <w:t>（六）试点示范科技推广应用与人员培训及宣传：开展生态林保护的试点示范，推广先进的科技成果，提高生态林保护的科技水平，同时对相关人员开展培训，提高其业务能力和水平。</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2.机构设置及人员情况</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库尔勒市城乡防护林管理处编制数45人，实有人数51人，其中：在职40人，减少2人；退休11人，增加2人；离休0人，增加0人。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（二）部门单位年度重点工作：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1.年度总体目标</w:t>
      </w:r>
      <w:r>
        <w:rPr>
          <w:rFonts w:hint="eastAsia" w:ascii="仿宋_GB2312" w:eastAsia="仿宋_GB2312"/>
          <w:b w:val="0"/>
          <w:sz w:val="32"/>
          <w:szCs w:val="32"/>
        </w:rPr>
        <w:cr/>
      </w:r>
      <w:r>
        <w:rPr>
          <w:rFonts w:hint="eastAsia" w:ascii="仿宋_GB2312" w:eastAsia="仿宋_GB2312"/>
          <w:b w:val="0"/>
          <w:sz w:val="32"/>
          <w:szCs w:val="32"/>
        </w:rPr>
        <w:t>目标1：加强东山荒山绿化管护工作，全面提升城乡生态宜居水平。</w:t>
      </w:r>
      <w:r>
        <w:rPr>
          <w:rFonts w:hint="eastAsia" w:ascii="仿宋_GB2312" w:eastAsia="仿宋_GB2312"/>
          <w:b w:val="0"/>
          <w:sz w:val="32"/>
          <w:szCs w:val="32"/>
        </w:rPr>
        <w:br w:type="textWrapping"/>
      </w:r>
      <w:r>
        <w:rPr>
          <w:rFonts w:hint="eastAsia" w:ascii="仿宋_GB2312" w:eastAsia="仿宋_GB2312"/>
          <w:b w:val="0"/>
          <w:sz w:val="32"/>
          <w:szCs w:val="32"/>
        </w:rPr>
        <w:t>目标2：引进市域内农民技术人才，促进技术型农民工增收。</w:t>
      </w:r>
      <w:r>
        <w:rPr>
          <w:rFonts w:hint="eastAsia" w:ascii="仿宋_GB2312" w:eastAsia="仿宋_GB2312"/>
          <w:b w:val="0"/>
          <w:sz w:val="32"/>
          <w:szCs w:val="32"/>
        </w:rPr>
        <w:cr/>
      </w:r>
      <w:r>
        <w:rPr>
          <w:rFonts w:hint="eastAsia" w:ascii="仿宋_GB2312" w:eastAsia="仿宋_GB2312"/>
          <w:b w:val="0"/>
          <w:sz w:val="32"/>
          <w:szCs w:val="32"/>
        </w:rPr>
        <w:t>目标3：常态化消防演练，林区防火巡逻检查。</w:t>
      </w:r>
      <w:r>
        <w:rPr>
          <w:rFonts w:hint="eastAsia" w:ascii="仿宋_GB2312" w:eastAsia="仿宋_GB2312"/>
          <w:b w:val="0"/>
          <w:sz w:val="32"/>
          <w:szCs w:val="32"/>
        </w:rPr>
        <w:cr/>
      </w:r>
      <w:r>
        <w:rPr>
          <w:rFonts w:hint="eastAsia" w:ascii="仿宋_GB2312" w:eastAsia="仿宋_GB2312"/>
          <w:b w:val="0"/>
          <w:sz w:val="32"/>
          <w:szCs w:val="32"/>
        </w:rPr>
        <w:t>2.重点工作计划</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一</w:t>
      </w:r>
      <w:r>
        <w:rPr>
          <w:rFonts w:hint="eastAsia" w:ascii="仿宋_GB2312" w:eastAsia="仿宋_GB2312"/>
          <w:b w:val="0"/>
          <w:sz w:val="32"/>
          <w:szCs w:val="32"/>
          <w:lang w:eastAsia="zh-CN"/>
        </w:rPr>
        <w:t>、</w:t>
      </w:r>
      <w:r>
        <w:rPr>
          <w:rFonts w:hint="eastAsia" w:ascii="仿宋_GB2312" w:eastAsia="仿宋_GB2312"/>
          <w:b w:val="0"/>
          <w:sz w:val="32"/>
          <w:szCs w:val="32"/>
        </w:rPr>
        <w:t>是有序推进库尔勒市龙山生态防护林修复工程的实施和验收工作，新疆巴音郭楞蒙古自治州库尔勒市2022年塔里木河干流生态综合治理项目的竣工验收及支付、新疆巴音郭楞蒙古自治州库尔勒市2021年塔里木河流域生态修复项目（退化林修复项目）的支付工作。2024年春季计划完成苗木补植5000亩，秋季完成补植3000亩。</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二</w:t>
      </w:r>
      <w:r>
        <w:rPr>
          <w:rFonts w:hint="eastAsia" w:ascii="仿宋_GB2312" w:eastAsia="仿宋_GB2312"/>
          <w:b w:val="0"/>
          <w:sz w:val="32"/>
          <w:szCs w:val="32"/>
          <w:lang w:eastAsia="zh-CN"/>
        </w:rPr>
        <w:t>、</w:t>
      </w:r>
      <w:r>
        <w:rPr>
          <w:rFonts w:hint="eastAsia" w:ascii="仿宋_GB2312" w:eastAsia="仿宋_GB2312"/>
          <w:b w:val="0"/>
          <w:sz w:val="32"/>
          <w:szCs w:val="32"/>
        </w:rPr>
        <w:t>是优化林木品种配置，提高林区对病虫害防御力。</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三</w:t>
      </w:r>
      <w:r>
        <w:rPr>
          <w:rFonts w:hint="eastAsia" w:ascii="仿宋_GB2312" w:eastAsia="仿宋_GB2312"/>
          <w:b w:val="0"/>
          <w:sz w:val="32"/>
          <w:szCs w:val="32"/>
          <w:lang w:eastAsia="zh-CN"/>
        </w:rPr>
        <w:t>、</w:t>
      </w:r>
      <w:r>
        <w:rPr>
          <w:rFonts w:hint="eastAsia" w:ascii="仿宋_GB2312" w:eastAsia="仿宋_GB2312"/>
          <w:b w:val="0"/>
          <w:sz w:val="32"/>
          <w:szCs w:val="32"/>
        </w:rPr>
        <w:t>是循序开展护林防火清理，每年清理20%区域，保证五年一轮。</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四</w:t>
      </w:r>
      <w:r>
        <w:rPr>
          <w:rFonts w:hint="eastAsia" w:ascii="仿宋_GB2312" w:eastAsia="仿宋_GB2312"/>
          <w:b w:val="0"/>
          <w:sz w:val="32"/>
          <w:szCs w:val="32"/>
          <w:lang w:eastAsia="zh-CN"/>
        </w:rPr>
        <w:t>、</w:t>
      </w:r>
      <w:r>
        <w:rPr>
          <w:rFonts w:hint="eastAsia" w:ascii="仿宋_GB2312" w:eastAsia="仿宋_GB2312"/>
          <w:b w:val="0"/>
          <w:sz w:val="32"/>
          <w:szCs w:val="32"/>
        </w:rPr>
        <w:t>是全面改善泵站设备老化问题，进行水泵及电机的智能化升级改造，提高取水效率。为更好地开展绿化管护工作打好基础。</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五</w:t>
      </w:r>
      <w:r>
        <w:rPr>
          <w:rFonts w:hint="eastAsia" w:ascii="仿宋_GB2312" w:eastAsia="仿宋_GB2312"/>
          <w:b w:val="0"/>
          <w:sz w:val="32"/>
          <w:szCs w:val="32"/>
          <w:lang w:eastAsia="zh-CN"/>
        </w:rPr>
        <w:t>、</w:t>
      </w:r>
      <w:r>
        <w:rPr>
          <w:rFonts w:hint="eastAsia" w:ascii="仿宋_GB2312" w:eastAsia="仿宋_GB2312"/>
          <w:b w:val="0"/>
          <w:sz w:val="32"/>
          <w:szCs w:val="32"/>
        </w:rPr>
        <w:t>是加强有害生物防治。针对胡杨木虱、春尺蠖、十斑吉丁、光肩星天牛等病虫害，抓住春季防治期，使用无人机飞防服务，提高防治精准度与提高防治效率，为全年病虫害防治奠定良好基础。</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六</w:t>
      </w:r>
      <w:r>
        <w:rPr>
          <w:rFonts w:hint="eastAsia" w:ascii="仿宋_GB2312" w:eastAsia="仿宋_GB2312"/>
          <w:b w:val="0"/>
          <w:sz w:val="32"/>
          <w:szCs w:val="32"/>
          <w:lang w:eastAsia="zh-CN"/>
        </w:rPr>
        <w:t>、</w:t>
      </w:r>
      <w:r>
        <w:rPr>
          <w:rFonts w:hint="eastAsia" w:ascii="仿宋_GB2312" w:eastAsia="仿宋_GB2312"/>
          <w:b w:val="0"/>
          <w:sz w:val="32"/>
          <w:szCs w:val="32"/>
        </w:rPr>
        <w:t>是对已建6万亩生态林地进行养护管理。为规范防护林管理，在维持原养护管理费用不变的情况下提高养护管理质量，以便荒山绿化发挥更大的生态效益， 加强对公益性岗位人员的管理，依据城乡防护林养护管理细则对公岗人员按照岗位、职责、区域等进行月考核，按照人员岗位进行量化绩效考评，落实差异化绩效。</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rPr>
        <w:t>七</w:t>
      </w:r>
      <w:r>
        <w:rPr>
          <w:rFonts w:hint="eastAsia" w:ascii="仿宋_GB2312" w:eastAsia="仿宋_GB2312"/>
          <w:b w:val="0"/>
          <w:sz w:val="32"/>
          <w:szCs w:val="32"/>
          <w:lang w:eastAsia="zh-CN"/>
        </w:rPr>
        <w:t>、</w:t>
      </w:r>
      <w:r>
        <w:rPr>
          <w:rFonts w:hint="eastAsia" w:ascii="仿宋_GB2312" w:eastAsia="仿宋_GB2312"/>
          <w:b w:val="0"/>
          <w:sz w:val="32"/>
          <w:szCs w:val="32"/>
        </w:rPr>
        <w:t>是守牢防火底线，健全防火运行机制，加强对6万亩林区进行防火巡逻检查工作。积极对接项目争取资金，对消防设备进行更新。做好龙山生态林修复改造工程中森林消防信息化建设、森林防火设备物资建设、森林防火工程建设三个项目，督促施工进度与验收。与武警消防支队常态化开展联合消防演练，计划全年开展1-2次大型全要素森林消防演练；组织护林员熟悉新装备和设施的学习及培训，提升队伍护林防火专业技能。加大护林防火宣传，严格林区出入管理，坚持24小时专人值班和领导带班制度，加强野外防火巡逻督查。对林区留守人员及单位逐户进行“十必备”及生活用火、用电、燃煤安全检查。</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（三）部门单位整体预算规模及安排情况：</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2024年库尔勒市城乡防护林管理处年初预算安排2210.93万元，其中财政拨款2210.93万元，其他资金0万元，主要用于加强东山荒山绿化管护工作，全面提升城乡生态宜居水平。引进市域内农民技术人才，促进技术型农民工增收。常态化消防演练，林区防火巡逻检查。年中调整1755.5万元，调整后全年预算3966.43万元，预算调整率79.4%，调整预算的主要原因支农专项-林业发展专项及防护林引水渠跨越和硕至库尔勒高速公路改扩建项目工程款支出增加。</w:t>
      </w:r>
    </w:p>
    <w:p>
      <w:pPr>
        <w:spacing w:line="600" w:lineRule="exact"/>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numPr>
          <w:ilvl w:val="0"/>
          <w:numId w:val="1"/>
        </w:numPr>
        <w:spacing w:line="600" w:lineRule="exact"/>
        <w:jc w:val="left"/>
        <w:rPr>
          <w:rFonts w:hint="eastAsia" w:ascii="仿宋_GB2312" w:eastAsia="仿宋_GB2312"/>
          <w:b w:val="0"/>
          <w:sz w:val="32"/>
          <w:szCs w:val="32"/>
        </w:rPr>
      </w:pPr>
      <w:r>
        <w:rPr>
          <w:rFonts w:hint="eastAsia" w:ascii="黑体" w:hAnsi="黑体" w:eastAsia="黑体" w:cs="宋体"/>
          <w:b/>
          <w:color w:val="000000" w:themeColor="text1"/>
          <w:sz w:val="32"/>
          <w:szCs w:val="32"/>
          <w:lang w:bidi="ar"/>
          <w14:textFill>
            <w14:solidFill>
              <w14:schemeClr w14:val="tx1"/>
            </w14:solidFill>
          </w14:textFill>
        </w:rPr>
        <w:t>部门单位整体支出管理情况</w:t>
      </w:r>
      <w:r>
        <w:rPr>
          <w:rFonts w:hint="eastAsia" w:ascii="黑体" w:hAnsi="黑体" w:eastAsia="黑体" w:cs="宋体"/>
          <w:b/>
          <w:color w:val="000000" w:themeColor="text1"/>
          <w:sz w:val="32"/>
          <w:szCs w:val="32"/>
          <w:lang w:bidi="ar"/>
          <w14:textFill>
            <w14:solidFill>
              <w14:schemeClr w14:val="tx1"/>
            </w14:solidFill>
          </w14:textFill>
        </w:rPr>
        <w:cr/>
      </w:r>
      <w:r>
        <w:rPr>
          <w:rFonts w:hint="eastAsia" w:ascii="仿宋_GB2312" w:eastAsia="仿宋_GB2312"/>
          <w:b w:val="0"/>
          <w:sz w:val="32"/>
          <w:szCs w:val="32"/>
        </w:rPr>
        <w:t>1.预算编制</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2024年我单位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eastAsia="仿宋_GB2312"/>
          <w:b w:val="0"/>
          <w:sz w:val="32"/>
          <w:szCs w:val="32"/>
        </w:rPr>
        <w:cr/>
      </w:r>
      <w:r>
        <w:rPr>
          <w:rFonts w:hint="eastAsia" w:ascii="仿宋_GB2312" w:eastAsia="仿宋_GB2312"/>
          <w:b w:val="0"/>
          <w:sz w:val="32"/>
          <w:szCs w:val="32"/>
        </w:rPr>
        <w:t>2.预算执行</w:t>
      </w:r>
      <w:r>
        <w:rPr>
          <w:rFonts w:hint="eastAsia" w:ascii="仿宋_GB2312" w:eastAsia="仿宋_GB2312"/>
          <w:b w:val="0"/>
          <w:sz w:val="32"/>
          <w:szCs w:val="32"/>
        </w:rPr>
        <w:br w:type="textWrapping"/>
      </w:r>
      <w:r>
        <w:rPr>
          <w:rFonts w:hint="eastAsia" w:ascii="仿宋_GB2312" w:eastAsia="仿宋_GB2312"/>
          <w:b w:val="0"/>
          <w:sz w:val="32"/>
          <w:szCs w:val="32"/>
        </w:rPr>
        <w:t>库尔勒市财政局下达批复预算后，我单位按要求及时制定并报批部门预算支出计划，严格落实预算执行定期分析机制，靠前抓好支出执行，坚持严肃财经纪律，硬化预算约束，持续树牢厉行节约理念，严控一般性支出，努力降低事业运行成本。</w:t>
      </w:r>
      <w:r>
        <w:rPr>
          <w:rFonts w:hint="eastAsia" w:ascii="仿宋_GB2312" w:eastAsia="仿宋_GB2312"/>
          <w:b w:val="0"/>
          <w:sz w:val="32"/>
          <w:szCs w:val="32"/>
        </w:rPr>
        <w:cr/>
      </w:r>
      <w:r>
        <w:rPr>
          <w:rFonts w:hint="eastAsia" w:ascii="仿宋_GB2312" w:eastAsia="仿宋_GB2312"/>
          <w:b w:val="0"/>
          <w:sz w:val="32"/>
          <w:szCs w:val="32"/>
        </w:rPr>
        <w:t>3.绩效管理</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eastAsia="仿宋_GB2312"/>
          <w:b w:val="0"/>
          <w:sz w:val="32"/>
          <w:szCs w:val="32"/>
        </w:rPr>
        <w:cr/>
      </w:r>
      <w:r>
        <w:rPr>
          <w:rFonts w:hint="eastAsia" w:ascii="仿宋_GB2312" w:eastAsia="仿宋_GB2312"/>
          <w:b w:val="0"/>
          <w:sz w:val="32"/>
          <w:szCs w:val="32"/>
        </w:rPr>
        <w:t>4.信息公开</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我单位已按要求在库尔勒市人民政府门户网站公开部门预算信息，同步公开绩效目标表；在库尔勒市人民政府门户网站公开部门决算信息，同步公开自评表及自评报告。</w:t>
      </w:r>
      <w:r>
        <w:rPr>
          <w:rFonts w:hint="eastAsia" w:ascii="仿宋_GB2312" w:eastAsia="仿宋_GB2312"/>
          <w:b w:val="0"/>
          <w:sz w:val="32"/>
          <w:szCs w:val="32"/>
        </w:rPr>
        <w:cr/>
      </w:r>
      <w:r>
        <w:rPr>
          <w:rFonts w:hint="eastAsia" w:ascii="仿宋_GB2312" w:eastAsia="仿宋_GB2312"/>
          <w:b w:val="0"/>
          <w:sz w:val="32"/>
          <w:szCs w:val="32"/>
        </w:rPr>
        <w:t>（二）部门单位整体支出使用情况</w:t>
      </w:r>
    </w:p>
    <w:p>
      <w:pPr>
        <w:numPr>
          <w:numId w:val="0"/>
        </w:numPr>
        <w:spacing w:line="600" w:lineRule="exact"/>
        <w:jc w:val="left"/>
        <w:rPr>
          <w:rFonts w:ascii="仿宋_GB2312" w:eastAsia="仿宋_GB2312"/>
          <w:b w:val="0"/>
          <w:sz w:val="32"/>
          <w:szCs w:val="32"/>
        </w:rPr>
      </w:pPr>
      <w:r>
        <w:rPr>
          <w:rFonts w:hint="eastAsia" w:ascii="仿宋_GB2312" w:eastAsia="仿宋_GB2312"/>
          <w:b w:val="0"/>
          <w:sz w:val="32"/>
          <w:szCs w:val="32"/>
        </w:rPr>
        <w:t>1.基本支出情况</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2024年基本支出988.76万元，包括工资福利支出952.35万元，商品和服务支出28.58万元，对个人和家庭的补助7.83万元，资本性支出0万元。其中：“三公”经费支4.8万元，比上年增加0万元，主要原因是本部门三公经费只有车辆运行费，且上下年车辆无变动，因此费用无变化；会议费支出0万元，比上年增加0万元，主要原因是本部门没有此项支出安排；培训费支出0.15万元，比上年增加0.15万元，主要原因是本年安排职工看观影学习。</w:t>
      </w:r>
      <w:r>
        <w:rPr>
          <w:rFonts w:hint="eastAsia" w:ascii="仿宋_GB2312" w:eastAsia="仿宋_GB2312"/>
          <w:b w:val="0"/>
          <w:sz w:val="32"/>
          <w:szCs w:val="32"/>
        </w:rPr>
        <w:cr/>
      </w:r>
      <w:r>
        <w:rPr>
          <w:rFonts w:hint="eastAsia" w:ascii="仿宋_GB2312" w:eastAsia="仿宋_GB2312"/>
          <w:b w:val="0"/>
          <w:sz w:val="32"/>
          <w:szCs w:val="32"/>
        </w:rPr>
        <w:t>2.专项资金支出情况</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2024年专项项目支出2977.67万元，占总支出的75.07％，主要用于1. 支农专项-林业发展专项及防护林引水渠跨越和硕至库尔勒高速公路改扩建项目工程款支出；2.访惠聚工作专项支出；3.格库铁路扩能改造工程征地拆迁资金（2023年自治州征地补偿费、新增建设用地有偿使用费）支出。</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3.部门单位专项组织实施情况</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年初我单位下发的支农专项-林业发展专项、巴财建【2023】107-号格库铁路扩能改造工程征地拆迁资金专项工作计划，对项目的工作分工、任务分配、资金落实、完成时限等提出了明确、具体的要求，以确保项目保质、保量、按时完成。截至2024年12月31日，完成专项2个，未完成专项0个。</w:t>
      </w:r>
      <w:r>
        <w:rPr>
          <w:rFonts w:hint="eastAsia" w:ascii="仿宋_GB2312" w:eastAsia="仿宋_GB2312"/>
          <w:b w:val="0"/>
          <w:sz w:val="32"/>
          <w:szCs w:val="32"/>
        </w:rPr>
        <w:cr/>
      </w:r>
      <w:r>
        <w:rPr>
          <w:rFonts w:hint="eastAsia" w:ascii="仿宋_GB2312" w:eastAsia="仿宋_GB2312"/>
          <w:b w:val="0"/>
          <w:sz w:val="32"/>
          <w:szCs w:val="32"/>
        </w:rPr>
        <w:t>为规范专项资金使用，提高专项资金使用效益，我单位主要采取三项措施。一是制订专项资金管理制度；二是各专项资金建立了专账；三是制定了项目实施方案，认真组织项目验收。切实保证专项资金都做到了专款专用。</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1）根据《新疆维吾尔自治区林业和草原生态保护恢复资金管理实施办法》《新疆维吾尔自治区林业改革发展资金管理实施细则》《库尔勒市城乡防护林管理处项目验收管理制度》、《库尔勒市城乡防护林管理处项目管理制度》《库尔勒市城乡防护林管理处项目领导小组会议日常管理办法》专项资金管理办法，各项资金使用审批流程均按规定办理。涉及“三重一大”内容，严格按照规定提请局党组会审议决定，包括项目资金分配、重大项目确定、大额资金支付等。</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（2）制定了支农专项-林业发展专项项目实施方案、巴财建【2023】107-号格库铁路扩能改造工程征地拆迁资金专项项目实施方案，确保项目资金管理目标、项目实施目标、强化资金管理效能，提升项目实施质量。</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3）认真组织支农专项-林业发展专项项目、巴财建【2023】107-号格库铁路扩能改造工程征地拆迁资金专项项目验收，确保项目建设任务完成情况、工程质量、通过验收及时发现并解决项目存在问题，为后续城防处项目规划下、实施提供有效参考，提升林草项目整体建设水平。</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rPr>
        <w:t>部门单位整体支出绩效分析：</w:t>
      </w:r>
    </w:p>
    <w:p>
      <w:pPr>
        <w:widowControl/>
        <w:numPr>
          <w:ilvl w:val="0"/>
          <w:numId w:val="2"/>
        </w:numPr>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rPr>
        <w:t>预算执行情况分析</w:t>
      </w:r>
      <w:r>
        <w:rPr>
          <w:rFonts w:hint="eastAsia" w:ascii="仿宋_GB2312" w:eastAsia="仿宋_GB2312"/>
          <w:b w:val="0"/>
          <w:sz w:val="32"/>
          <w:szCs w:val="32"/>
        </w:rPr>
        <w:cr/>
      </w:r>
      <w:r>
        <w:rPr>
          <w:rFonts w:hint="eastAsia" w:ascii="仿宋_GB2312" w:eastAsia="仿宋_GB2312"/>
          <w:b w:val="0"/>
          <w:sz w:val="32"/>
          <w:szCs w:val="32"/>
        </w:rPr>
        <w:t>2024年库尔勒市城乡防护林管理处总支出3966.43万元，预算执行率100%，其中：其他组织事务支出10.27万元；农业农村生态环境支出2151.12万元；事业机构支出988.76万元；其他自然资源事务支出816.28万元。</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1.基本支出使用情况</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2024年，库尔勒市城乡防护林管理处单位基本支出988.76万元，占总支出的24.93％，其中：事业机构支出988.76万元。</w:t>
      </w:r>
      <w:r>
        <w:rPr>
          <w:rFonts w:hint="eastAsia" w:ascii="仿宋_GB2312" w:eastAsia="仿宋_GB2312"/>
          <w:b w:val="0"/>
          <w:sz w:val="32"/>
          <w:szCs w:val="32"/>
        </w:rPr>
        <w:cr/>
      </w:r>
      <w:r>
        <w:rPr>
          <w:rFonts w:hint="eastAsia" w:ascii="仿宋_GB2312" w:eastAsia="仿宋_GB2312"/>
          <w:b w:val="0"/>
          <w:sz w:val="32"/>
          <w:szCs w:val="32"/>
        </w:rPr>
        <w:t>2.项目支出使用情况</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2024年，库尔勒市城乡防护林管理处单位项目支出2977.67万元，占总支出的75.07％。其中：支农专项-林业发展专项支出2151.12万元；其他组织事务支出10.27万元；其他自然资源事务支出816.28万元。</w:t>
      </w:r>
    </w:p>
    <w:p>
      <w:pPr>
        <w:widowControl/>
        <w:numPr>
          <w:ilvl w:val="0"/>
          <w:numId w:val="2"/>
        </w:numPr>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rPr>
        <w:t>部门单位整体支出绩效指标完成情况分析</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年初我单位设置部门整体绩效目标中包括一级指标5个（运行成本、管理效率、履职效能、社会效益、可持续发展能力、服务对象满意度）二级指标1个，三级指标4个，指标完成情况分析如下：</w:t>
      </w:r>
      <w:r>
        <w:rPr>
          <w:rFonts w:hint="eastAsia" w:ascii="仿宋_GB2312" w:eastAsia="仿宋_GB2312"/>
          <w:b w:val="0"/>
          <w:sz w:val="32"/>
          <w:szCs w:val="32"/>
        </w:rPr>
        <w:cr/>
      </w:r>
      <w:r>
        <w:rPr>
          <w:rFonts w:hint="eastAsia" w:ascii="仿宋_GB2312" w:eastAsia="仿宋_GB2312"/>
          <w:b w:val="0"/>
          <w:sz w:val="32"/>
          <w:szCs w:val="32"/>
        </w:rPr>
        <w:t>1.运行成本：无此项指标。</w:t>
      </w:r>
      <w:r>
        <w:rPr>
          <w:rFonts w:hint="eastAsia" w:ascii="仿宋_GB2312" w:eastAsia="仿宋_GB2312"/>
          <w:b w:val="0"/>
          <w:sz w:val="32"/>
          <w:szCs w:val="32"/>
        </w:rPr>
        <w:cr/>
      </w:r>
      <w:r>
        <w:rPr>
          <w:rFonts w:hint="eastAsia" w:ascii="仿宋_GB2312" w:eastAsia="仿宋_GB2312"/>
          <w:b w:val="0"/>
          <w:sz w:val="32"/>
          <w:szCs w:val="32"/>
        </w:rPr>
        <w:t>2.管理效率：无此项指标。</w:t>
      </w:r>
      <w:r>
        <w:rPr>
          <w:rFonts w:hint="eastAsia" w:ascii="仿宋_GB2312" w:eastAsia="仿宋_GB2312"/>
          <w:b w:val="0"/>
          <w:sz w:val="32"/>
          <w:szCs w:val="32"/>
        </w:rPr>
        <w:cr/>
      </w:r>
      <w:r>
        <w:rPr>
          <w:rFonts w:hint="eastAsia" w:ascii="仿宋_GB2312" w:eastAsia="仿宋_GB2312"/>
          <w:b w:val="0"/>
          <w:sz w:val="32"/>
          <w:szCs w:val="32"/>
        </w:rPr>
        <w:t>3.履职效能</w:t>
      </w:r>
      <w:r>
        <w:rPr>
          <w:rFonts w:hint="eastAsia" w:ascii="仿宋_GB2312" w:eastAsia="仿宋_GB2312"/>
          <w:b w:val="0"/>
          <w:sz w:val="32"/>
          <w:szCs w:val="32"/>
        </w:rPr>
        <w:cr/>
      </w:r>
      <w:r>
        <w:rPr>
          <w:rFonts w:hint="eastAsia" w:ascii="仿宋_GB2312" w:eastAsia="仿宋_GB2312"/>
          <w:b w:val="0"/>
          <w:sz w:val="32"/>
          <w:szCs w:val="32"/>
        </w:rPr>
        <w:t>（1）数量指标</w:t>
      </w:r>
      <w:r>
        <w:rPr>
          <w:rFonts w:hint="eastAsia" w:ascii="仿宋_GB2312" w:eastAsia="仿宋_GB2312"/>
          <w:b w:val="0"/>
          <w:sz w:val="32"/>
          <w:szCs w:val="32"/>
        </w:rPr>
        <w:cr/>
      </w:r>
      <w:r>
        <w:rPr>
          <w:rFonts w:hint="eastAsia" w:ascii="仿宋_GB2312" w:eastAsia="仿宋_GB2312"/>
          <w:b w:val="0"/>
          <w:sz w:val="32"/>
          <w:szCs w:val="32"/>
        </w:rPr>
        <w:t>指标1：管护生态林面积，指标值：&gt;=6万亩，年中监控完成值：6万亩，自评完成值：6万亩，指标完成率100%。偏差率：0%。</w:t>
      </w:r>
      <w:r>
        <w:rPr>
          <w:rFonts w:hint="eastAsia" w:ascii="仿宋_GB2312" w:eastAsia="仿宋_GB2312"/>
          <w:b w:val="0"/>
          <w:sz w:val="32"/>
          <w:szCs w:val="32"/>
        </w:rPr>
        <w:cr/>
      </w:r>
      <w:r>
        <w:rPr>
          <w:rFonts w:hint="eastAsia" w:ascii="仿宋_GB2312" w:eastAsia="仿宋_GB2312"/>
          <w:b w:val="0"/>
          <w:sz w:val="32"/>
          <w:szCs w:val="32"/>
        </w:rPr>
        <w:t>指标成效分析：通过完成管护生态林面积工作，有效改善库尔勒市空气质量，林区夏季气温比周边裸地低320%，缓解城市热岛效应。</w:t>
      </w:r>
      <w:r>
        <w:rPr>
          <w:rFonts w:hint="eastAsia" w:ascii="仿宋_GB2312" w:eastAsia="仿宋_GB2312"/>
          <w:b w:val="0"/>
          <w:sz w:val="32"/>
          <w:szCs w:val="32"/>
        </w:rPr>
        <w:br w:type="textWrapping"/>
      </w:r>
      <w:r>
        <w:rPr>
          <w:rFonts w:hint="eastAsia" w:ascii="仿宋_GB2312" w:eastAsia="仿宋_GB2312"/>
          <w:b w:val="0"/>
          <w:sz w:val="32"/>
          <w:szCs w:val="32"/>
        </w:rPr>
        <w:t>指标2：保障防护林年用水量，指标值：&gt;=2684.20万方，年中监控完成值：2091.78万方，自评完成值：2091.78万方，指标完成率77.49%，偏差</w:t>
      </w:r>
      <w:r>
        <w:rPr>
          <w:rFonts w:hint="eastAsia" w:ascii="仿宋_GB2312" w:eastAsia="仿宋_GB2312"/>
          <w:b w:val="0"/>
          <w:sz w:val="32"/>
          <w:szCs w:val="32"/>
        </w:rPr>
        <w:tab/>
      </w:r>
      <w:r>
        <w:rPr>
          <w:rFonts w:hint="eastAsia" w:ascii="仿宋_GB2312" w:eastAsia="仿宋_GB2312"/>
          <w:b w:val="0"/>
          <w:sz w:val="32"/>
          <w:szCs w:val="32"/>
        </w:rPr>
        <w:t>22.51%，偏差原因：因2023年9月对首部泵站进行扩容升级改造4台泵由450KW升级为560KW，2024供水量较目标供水量减少。改进措施：后续持续跟进。</w:t>
      </w:r>
      <w:r>
        <w:rPr>
          <w:rFonts w:hint="eastAsia" w:ascii="仿宋_GB2312" w:eastAsia="仿宋_GB2312"/>
          <w:b w:val="0"/>
          <w:sz w:val="32"/>
          <w:szCs w:val="32"/>
        </w:rPr>
        <w:cr/>
      </w:r>
      <w:r>
        <w:rPr>
          <w:rFonts w:hint="eastAsia" w:ascii="仿宋_GB2312" w:eastAsia="仿宋_GB2312"/>
          <w:b w:val="0"/>
          <w:sz w:val="32"/>
          <w:szCs w:val="32"/>
        </w:rPr>
        <w:t>指标成效分析：通过完成保障林区防护林年用水量工作，有效提升林区植被存活率及覆盖率，人居环境得到优化。</w:t>
      </w:r>
      <w:r>
        <w:rPr>
          <w:rFonts w:hint="eastAsia" w:ascii="仿宋_GB2312" w:eastAsia="仿宋_GB2312"/>
          <w:b w:val="0"/>
          <w:sz w:val="32"/>
          <w:szCs w:val="32"/>
        </w:rPr>
        <w:cr/>
      </w:r>
      <w:r>
        <w:rPr>
          <w:rFonts w:hint="eastAsia" w:ascii="仿宋_GB2312" w:eastAsia="仿宋_GB2312"/>
          <w:b w:val="0"/>
          <w:sz w:val="32"/>
          <w:szCs w:val="32"/>
        </w:rPr>
        <w:t>指标3：保障防护林年用电量，指标值：&gt;=1550万度，年中监控完成值：1639.22万度，自评完成值：1639.22万度，指标完成率106.85%，偏差-6.85%，偏差原因：2023年9月对首部泵站进行扩容升级改造4台泵由450KW升级为560KW，2024供水量用电量增加。改进措施：后续持续跟进用电量情况。</w:t>
      </w:r>
      <w:r>
        <w:rPr>
          <w:rFonts w:hint="eastAsia" w:ascii="仿宋_GB2312" w:eastAsia="仿宋_GB2312"/>
          <w:b w:val="0"/>
          <w:sz w:val="32"/>
          <w:szCs w:val="32"/>
        </w:rPr>
        <w:cr/>
      </w:r>
      <w:r>
        <w:rPr>
          <w:rFonts w:hint="eastAsia" w:ascii="仿宋_GB2312" w:eastAsia="仿宋_GB2312"/>
          <w:b w:val="0"/>
          <w:sz w:val="32"/>
          <w:szCs w:val="32"/>
        </w:rPr>
        <w:t>指标成效分析：通过完成保障防护林年用电量工作，实现了对森林资源的实时监测，及时发现并处理森林火灾、病虫害等的监测预报，极大降低森林灾害风险，保障防护林生态功能稳定发挥。</w:t>
      </w:r>
      <w:r>
        <w:rPr>
          <w:rFonts w:hint="eastAsia" w:ascii="仿宋_GB2312" w:eastAsia="仿宋_GB2312"/>
          <w:b w:val="0"/>
          <w:sz w:val="32"/>
          <w:szCs w:val="32"/>
        </w:rPr>
        <w:cr/>
      </w:r>
      <w:r>
        <w:rPr>
          <w:rFonts w:hint="eastAsia" w:ascii="仿宋_GB2312" w:eastAsia="仿宋_GB2312"/>
          <w:b w:val="0"/>
          <w:sz w:val="32"/>
          <w:szCs w:val="32"/>
        </w:rPr>
        <w:t>指标4：组织森林消防演练次数，指标值：&gt;=1次，年中监控完成值：1次，自评完成值：1次，指标完成率100%，偏差0%。</w:t>
      </w:r>
      <w:r>
        <w:rPr>
          <w:rFonts w:hint="eastAsia" w:ascii="仿宋_GB2312" w:eastAsia="仿宋_GB2312"/>
          <w:b w:val="0"/>
          <w:sz w:val="32"/>
          <w:szCs w:val="32"/>
        </w:rPr>
        <w:cr/>
      </w:r>
      <w:r>
        <w:rPr>
          <w:rFonts w:hint="eastAsia" w:ascii="仿宋_GB2312" w:eastAsia="仿宋_GB2312"/>
          <w:b w:val="0"/>
          <w:sz w:val="32"/>
          <w:szCs w:val="32"/>
        </w:rPr>
        <w:t>指标成效分析：通过完成组织森林消防演练工作，有效提升了管护人员的护林防火意识及应对突发事件的能力，培养了专业人才队伍，为林业可持续发展奠定了基础。</w:t>
      </w:r>
      <w:r>
        <w:rPr>
          <w:rFonts w:hint="eastAsia" w:ascii="仿宋_GB2312" w:eastAsia="仿宋_GB2312"/>
          <w:b w:val="0"/>
          <w:sz w:val="32"/>
          <w:szCs w:val="32"/>
        </w:rPr>
        <w:cr/>
      </w:r>
      <w:r>
        <w:rPr>
          <w:rFonts w:hint="eastAsia" w:ascii="仿宋_GB2312" w:eastAsia="仿宋_GB2312"/>
          <w:b w:val="0"/>
          <w:sz w:val="32"/>
          <w:szCs w:val="32"/>
        </w:rPr>
        <w:t>4.社会效益：无此项指标。</w:t>
      </w:r>
      <w:r>
        <w:rPr>
          <w:rFonts w:hint="eastAsia" w:ascii="仿宋_GB2312" w:eastAsia="仿宋_GB2312"/>
          <w:b w:val="0"/>
          <w:sz w:val="32"/>
          <w:szCs w:val="32"/>
        </w:rPr>
        <w:cr/>
      </w:r>
      <w:r>
        <w:rPr>
          <w:rFonts w:hint="eastAsia" w:ascii="仿宋_GB2312" w:eastAsia="仿宋_GB2312"/>
          <w:b w:val="0"/>
          <w:sz w:val="32"/>
          <w:szCs w:val="32"/>
        </w:rPr>
        <w:t>5.可持续发展能力：无此项指标。</w:t>
      </w:r>
      <w:r>
        <w:rPr>
          <w:rFonts w:hint="eastAsia" w:ascii="仿宋_GB2312" w:eastAsia="仿宋_GB2312"/>
          <w:b w:val="0"/>
          <w:sz w:val="32"/>
          <w:szCs w:val="32"/>
        </w:rPr>
        <w:cr/>
      </w:r>
      <w:r>
        <w:rPr>
          <w:rFonts w:hint="eastAsia" w:ascii="仿宋_GB2312" w:eastAsia="仿宋_GB2312"/>
          <w:b w:val="0"/>
          <w:sz w:val="32"/>
          <w:szCs w:val="32"/>
        </w:rPr>
        <w:t>6.服务对象满意度：无此项指标。</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rPr>
        <w:t>评价结论：</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rPr>
        <w:t>2024年度部门整体支出绩效评价综合得分94.48分，评价结果为“优”。</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rPr>
        <w:t>存在的主要问题及原因分析：</w:t>
      </w:r>
    </w:p>
    <w:p>
      <w:pPr>
        <w:keepNext w:val="0"/>
        <w:keepLines w:val="0"/>
        <w:pageBreakBefore w:val="0"/>
        <w:widowControl/>
        <w:kinsoku/>
        <w:wordWrap/>
        <w:overflowPunct/>
        <w:topLinePunct/>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b w:val="0"/>
          <w:sz w:val="32"/>
          <w:szCs w:val="32"/>
        </w:rPr>
      </w:pPr>
      <w:r>
        <w:rPr>
          <w:rFonts w:hint="eastAsia" w:ascii="仿宋_GB2312" w:eastAsia="仿宋_GB2312"/>
          <w:b w:val="0"/>
          <w:sz w:val="32"/>
          <w:szCs w:val="32"/>
        </w:rPr>
        <w:t>（一）绩效指标设置不够明确</w:t>
      </w:r>
      <w:r>
        <w:rPr>
          <w:rFonts w:hint="eastAsia" w:ascii="仿宋_GB2312" w:eastAsia="仿宋_GB2312"/>
          <w:b w:val="0"/>
          <w:sz w:val="32"/>
          <w:szCs w:val="32"/>
        </w:rPr>
        <w:cr/>
      </w:r>
      <w:r>
        <w:rPr>
          <w:rFonts w:hint="eastAsia" w:ascii="仿宋_GB2312" w:eastAsia="仿宋_GB2312"/>
          <w:b w:val="0"/>
          <w:sz w:val="32"/>
          <w:szCs w:val="32"/>
        </w:rPr>
        <w:t>我单位部分绩效指标设置存在不够精简、指标数据无法统计和指标值设置过低等问题，部分项目绩效指标值设定为定性的指标，指标设置的科学性、合理性有待进一步提高。</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（二）财务人员工作经验不足</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绩效指标设置不够明确。</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（三）项目监督工作存在薄弱环节</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项目实施过程中的上报、跟踪、反馈机制尚未真正形成，对项目资金的使用、实施等监管措施仍然存在改进的空间。</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rPr>
        <w:t>改进措施和建议：</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（一）强化部门绩效管理体系建设</w:t>
      </w:r>
      <w:r>
        <w:rPr>
          <w:rFonts w:hint="eastAsia" w:ascii="仿宋_GB2312" w:eastAsia="仿宋_GB2312"/>
          <w:b w:val="0"/>
          <w:sz w:val="32"/>
          <w:szCs w:val="32"/>
        </w:rPr>
        <w:br w:type="textWrapping"/>
      </w:r>
      <w:r>
        <w:rPr>
          <w:rFonts w:hint="eastAsia" w:ascii="仿宋_GB2312" w:eastAsia="仿宋_GB2312"/>
          <w:b w:val="0"/>
          <w:sz w:val="32"/>
          <w:szCs w:val="32"/>
        </w:rPr>
        <w:t>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二）多进行有关绩效管理工作方面的培训。积极组织第三方开展绩效管理工作培训，进一步夯实业务基础，提高我单位绩效人员水平。专门设定对绩效工作人员定职、定岗、定责等相关制度措施，进一步提升我单位绩效管理工作业务水平，扎实做好绩效管理工作。</w:t>
      </w:r>
    </w:p>
    <w:p>
      <w:pPr>
        <w:widowControl/>
        <w:spacing w:before="0" w:beforeLines="0" w:beforeAutospacing="0" w:after="0" w:afterLines="0" w:afterAutospacing="0" w:line="240" w:lineRule="auto"/>
        <w:ind w:firstLine="640" w:firstLineChars="200"/>
        <w:jc w:val="both"/>
        <w:rPr>
          <w:rFonts w:ascii="黑体" w:eastAsia="黑体"/>
          <w:b w:val="0"/>
          <w:sz w:val="32"/>
          <w:szCs w:val="32"/>
        </w:rPr>
      </w:pPr>
      <w:r>
        <w:rPr>
          <w:rFonts w:hint="eastAsia" w:ascii="仿宋_GB2312" w:eastAsia="仿宋_GB2312"/>
          <w:b w:val="0"/>
          <w:sz w:val="32"/>
          <w:szCs w:val="32"/>
        </w:rPr>
        <w:t>（三）建立动态分析管理机制，提高项目监管主动性</w:t>
      </w:r>
      <w:r>
        <w:rPr>
          <w:rFonts w:hint="eastAsia" w:ascii="仿宋_GB2312" w:eastAsia="仿宋_GB2312"/>
          <w:b w:val="0"/>
          <w:sz w:val="32"/>
          <w:szCs w:val="32"/>
        </w:rPr>
        <w:br w:type="textWrapping"/>
      </w:r>
      <w:r>
        <w:rPr>
          <w:rFonts w:hint="eastAsia" w:ascii="仿宋_GB2312" w:eastAsia="仿宋_GB2312"/>
          <w:b w:val="0"/>
          <w:sz w:val="32"/>
          <w:szCs w:val="32"/>
        </w:rPr>
        <w:t>业务部门进行指导、监督和检查时进一步加强主动性，积极探索更有效和积极主动的监管方式。建立重点项目实施过程的反馈机制，加大对重点部门、重点项目的监控力度，并建立对重点项目实施情况按月度上报机制，及时督促相关地区对政策的落地执行，提高对项目的整体把控能力。同时进一步扩大抽查覆盖面，或聘请专业第三方机构对项目运行情况进行事中、事后监控。</w:t>
      </w:r>
    </w:p>
    <w:p>
      <w:pPr>
        <w:widowControl/>
        <w:spacing w:before="0" w:beforeLines="0" w:beforeAutospacing="0" w:after="0" w:afterLines="0" w:afterAutospacing="0" w:line="240" w:lineRule="auto"/>
        <w:jc w:val="left"/>
        <w:outlineLvl w:val="1"/>
        <w:rPr>
          <w:rFonts w:hint="eastAsia" w:ascii="黑体" w:eastAsia="黑体"/>
          <w:sz w:val="32"/>
          <w:szCs w:val="32"/>
          <w:lang w:eastAsia="zh-CN"/>
        </w:rPr>
      </w:pPr>
      <w:r>
        <w:rPr>
          <w:rFonts w:ascii="黑体" w:eastAsia="黑体"/>
          <w:b w:val="0"/>
          <w:sz w:val="32"/>
          <w:szCs w:val="32"/>
        </w:rPr>
        <w:t>其他需说明的事项</w:t>
      </w:r>
      <w:r>
        <w:rPr>
          <w:rFonts w:hint="eastAsia" w:ascii="黑体" w:eastAsia="黑体"/>
          <w:b w:val="0"/>
          <w:sz w:val="32"/>
          <w:szCs w:val="32"/>
          <w:lang w:eastAsia="zh-CN"/>
        </w:rPr>
        <w:t>：</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本单位无其他需说明事项。</w:t>
      </w:r>
    </w:p>
    <w:p>
      <w:pPr>
        <w:pStyle w:val="2"/>
        <w:rPr>
          <w:rFonts w:ascii="仿宋_GB2312" w:eastAsia="仿宋_GB2312"/>
          <w:b w:val="0"/>
          <w:sz w:val="32"/>
          <w:szCs w:val="32"/>
        </w:rPr>
        <w:sectPr>
          <w:pgSz w:w="11906" w:h="16838"/>
          <w:pgMar w:top="1440" w:right="1800" w:bottom="1440" w:left="1800" w:header="851" w:footer="992" w:gutter="0"/>
          <w:cols w:space="425" w:num="1"/>
          <w:docGrid w:type="lines" w:linePitch="312" w:charSpace="0"/>
        </w:sectPr>
      </w:pPr>
      <w:bookmarkStart w:id="1" w:name="_GoBack"/>
      <w:bookmarkEnd w:id="1"/>
    </w:p>
    <w:p>
      <w:r>
        <w:rPr>
          <w:rFonts w:hint="eastAsia" w:ascii="黑体" w:hAnsi="黑体" w:eastAsia="黑体" w:cs="宋体"/>
          <w:b w:val="0"/>
          <w:bCs/>
          <w:color w:val="333333"/>
          <w:sz w:val="32"/>
          <w:szCs w:val="32"/>
          <w:lang w:val="en-US" w:eastAsia="zh-CN" w:bidi="ar"/>
        </w:rPr>
        <w:t>附表：《部门整体支出绩效目标自评表》</w:t>
      </w:r>
    </w:p>
    <w:p>
      <w:r>
        <w:drawing>
          <wp:inline distT="0" distB="0" distL="114300" distR="114300">
            <wp:extent cx="5478780" cy="5976620"/>
            <wp:effectExtent l="0" t="0" r="762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4"/>
                    <a:stretch>
                      <a:fillRect/>
                    </a:stretch>
                  </pic:blipFill>
                  <pic:spPr>
                    <a:xfrm>
                      <a:off x="0" y="0"/>
                      <a:ext cx="5478780" cy="5976620"/>
                    </a:xfrm>
                    <a:prstGeom prst="rect">
                      <a:avLst/>
                    </a:prstGeom>
                    <a:noFill/>
                    <a:ln>
                      <a:noFill/>
                    </a:ln>
                  </pic:spPr>
                </pic:pic>
              </a:graphicData>
            </a:graphic>
          </wp:inline>
        </w:drawing>
      </w:r>
    </w:p>
    <w:p/>
    <w:p/>
    <w:p/>
    <w:p/>
    <w:p/>
    <w:p/>
    <w:p/>
    <w:p/>
    <w:p/>
    <w:p/>
    <w:p/>
    <w:p/>
    <w:p/>
    <w:p>
      <w:pPr>
        <w:sectPr>
          <w:pgSz w:w="11906" w:h="16838"/>
          <w:pgMar w:top="1440" w:right="1800" w:bottom="1440" w:left="1800" w:header="851" w:footer="992" w:gutter="0"/>
          <w:cols w:space="425" w:num="1"/>
          <w:docGrid w:type="lines" w:linePitch="312" w:charSpace="0"/>
        </w:sectPr>
      </w:pPr>
      <w:r>
        <w:drawing>
          <wp:inline distT="0" distB="0" distL="114300" distR="114300">
            <wp:extent cx="5803900" cy="6493510"/>
            <wp:effectExtent l="0" t="0" r="635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5"/>
                    <a:stretch>
                      <a:fillRect/>
                    </a:stretch>
                  </pic:blipFill>
                  <pic:spPr>
                    <a:xfrm>
                      <a:off x="0" y="0"/>
                      <a:ext cx="5803900" cy="6493510"/>
                    </a:xfrm>
                    <a:prstGeom prst="rect">
                      <a:avLst/>
                    </a:prstGeom>
                    <a:noFill/>
                    <a:ln>
                      <a:noFill/>
                    </a:ln>
                  </pic:spPr>
                </pic:pic>
              </a:graphicData>
            </a:graphic>
          </wp:inline>
        </w:drawing>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3638F"/>
    <w:multiLevelType w:val="singleLevel"/>
    <w:tmpl w:val="8393638F"/>
    <w:lvl w:ilvl="0" w:tentative="0">
      <w:start w:val="1"/>
      <w:numFmt w:val="chineseCounting"/>
      <w:suff w:val="nothing"/>
      <w:lvlText w:val="（%1）"/>
      <w:lvlJc w:val="left"/>
      <w:rPr>
        <w:rFonts w:hint="eastAsia"/>
      </w:rPr>
    </w:lvl>
  </w:abstractNum>
  <w:abstractNum w:abstractNumId="1">
    <w:nsid w:val="4FB44C21"/>
    <w:multiLevelType w:val="singleLevel"/>
    <w:tmpl w:val="4FB44C2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C611B7"/>
    <w:rsid w:val="04A679CA"/>
    <w:rsid w:val="31C61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3"/>
    <w:basedOn w:val="1"/>
    <w:next w:val="1"/>
    <w:qFormat/>
    <w:uiPriority w:val="0"/>
    <w:pPr>
      <w:keepNext/>
      <w:keepLines/>
      <w:widowControl w:val="0"/>
      <w:spacing w:before="260" w:after="260" w:line="412" w:lineRule="auto"/>
      <w:outlineLvl w:val="2"/>
    </w:pPr>
    <w:rPr>
      <w:b/>
      <w:bCs/>
      <w:sz w:val="32"/>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2025-08-18T05:24:00Z</dcterms:created>
  <dc:creator>Administrator</dc:creator>
  <cp:lastModifiedBy>lenovo</cp:lastModifiedBy>
  <dcterms:modified xsi:type="dcterms:W3CDTF">2025-08-18T12:57:04Z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84DED3AD71714214A03D382C4EEED9C9</vt:lpwstr>
  </property>
</Properties>
</file>